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30FFC" w14:textId="77777777" w:rsidR="001C5EBD" w:rsidRPr="001339CD" w:rsidRDefault="00F40840" w:rsidP="00F40840">
      <w:pPr>
        <w:spacing w:after="0"/>
        <w:jc w:val="center"/>
        <w:rPr>
          <w:sz w:val="24"/>
          <w:szCs w:val="24"/>
        </w:rPr>
      </w:pPr>
      <w:bookmarkStart w:id="0" w:name="_GoBack"/>
      <w:bookmarkEnd w:id="0"/>
      <w:r w:rsidRPr="001339CD">
        <w:rPr>
          <w:sz w:val="24"/>
          <w:szCs w:val="24"/>
        </w:rPr>
        <w:t xml:space="preserve">Barkod: B1194/19 TUR </w:t>
      </w:r>
    </w:p>
    <w:p w14:paraId="71A8EA8B" w14:textId="77777777" w:rsidR="00F40840" w:rsidRPr="001339CD" w:rsidRDefault="00F40840" w:rsidP="00F40840">
      <w:pPr>
        <w:spacing w:after="0"/>
        <w:jc w:val="center"/>
        <w:rPr>
          <w:sz w:val="24"/>
          <w:szCs w:val="24"/>
        </w:rPr>
      </w:pPr>
      <w:r w:rsidRPr="001339CD">
        <w:rPr>
          <w:sz w:val="24"/>
          <w:szCs w:val="24"/>
        </w:rPr>
        <w:t>C/B/1 BY-</w:t>
      </w:r>
      <w:r w:rsidRPr="001339CD">
        <w:rPr>
          <w:sz w:val="24"/>
          <w:szCs w:val="24"/>
          <w:u w:val="single"/>
        </w:rPr>
        <w:t>SY</w:t>
      </w:r>
    </w:p>
    <w:p w14:paraId="783AD8F1" w14:textId="77777777" w:rsidR="00F40840" w:rsidRPr="001339CD" w:rsidRDefault="00F40840" w:rsidP="00F40840">
      <w:pPr>
        <w:spacing w:after="0"/>
        <w:jc w:val="center"/>
        <w:rPr>
          <w:sz w:val="24"/>
          <w:szCs w:val="24"/>
        </w:rPr>
      </w:pPr>
      <w:r w:rsidRPr="001339CD">
        <w:rPr>
          <w:sz w:val="24"/>
          <w:szCs w:val="24"/>
        </w:rPr>
        <w:t>11</w:t>
      </w:r>
      <w:r w:rsidRPr="001339CD">
        <w:rPr>
          <w:sz w:val="24"/>
          <w:szCs w:val="24"/>
        </w:rPr>
        <w:tab/>
        <w:t xml:space="preserve">BFLNDU TUR-KAYA </w:t>
      </w:r>
    </w:p>
    <w:p w14:paraId="04A19EE6" w14:textId="77777777" w:rsidR="00F40840" w:rsidRPr="001339CD" w:rsidRDefault="00F40840" w:rsidP="00F40840">
      <w:pPr>
        <w:spacing w:after="0"/>
        <w:jc w:val="right"/>
        <w:rPr>
          <w:sz w:val="24"/>
          <w:szCs w:val="24"/>
        </w:rPr>
      </w:pPr>
      <w:r w:rsidRPr="001339CD">
        <w:rPr>
          <w:sz w:val="24"/>
          <w:szCs w:val="24"/>
        </w:rPr>
        <w:t xml:space="preserve">Amblem: SYNDICAT EUROPEAN </w:t>
      </w:r>
    </w:p>
    <w:p w14:paraId="47598F15" w14:textId="77777777" w:rsidR="00F40840" w:rsidRPr="001339CD" w:rsidRDefault="00F40840" w:rsidP="00F40840">
      <w:pPr>
        <w:spacing w:after="0"/>
        <w:jc w:val="right"/>
        <w:rPr>
          <w:sz w:val="24"/>
          <w:szCs w:val="24"/>
        </w:rPr>
      </w:pPr>
      <w:r w:rsidRPr="001339CD">
        <w:rPr>
          <w:sz w:val="24"/>
          <w:szCs w:val="24"/>
        </w:rPr>
        <w:t xml:space="preserve">SENDİKASI </w:t>
      </w:r>
    </w:p>
    <w:p w14:paraId="51D2F4F1" w14:textId="77777777" w:rsidR="00F40840" w:rsidRPr="001339CD" w:rsidRDefault="00F40840" w:rsidP="00F40840">
      <w:pPr>
        <w:spacing w:after="0"/>
        <w:jc w:val="right"/>
        <w:rPr>
          <w:sz w:val="24"/>
          <w:szCs w:val="24"/>
        </w:rPr>
      </w:pPr>
      <w:r w:rsidRPr="001339CD">
        <w:rPr>
          <w:sz w:val="24"/>
          <w:szCs w:val="24"/>
        </w:rPr>
        <w:t xml:space="preserve">Brüksel, 9 Eylül 2021 </w:t>
      </w:r>
    </w:p>
    <w:p w14:paraId="250B9300" w14:textId="77777777" w:rsidR="00F40840" w:rsidRPr="001339CD" w:rsidRDefault="00F40840" w:rsidP="00F40840">
      <w:pPr>
        <w:spacing w:after="0"/>
        <w:rPr>
          <w:sz w:val="24"/>
          <w:szCs w:val="24"/>
        </w:rPr>
      </w:pPr>
      <w:r w:rsidRPr="001339CD">
        <w:rPr>
          <w:sz w:val="24"/>
          <w:szCs w:val="24"/>
        </w:rPr>
        <w:t xml:space="preserve">Avrupa İnsan Hakları Mahkemesi </w:t>
      </w:r>
    </w:p>
    <w:p w14:paraId="48132B7C" w14:textId="77777777" w:rsidR="00F40840" w:rsidRPr="001339CD" w:rsidRDefault="00F40840" w:rsidP="00F40840">
      <w:pPr>
        <w:spacing w:after="0"/>
        <w:rPr>
          <w:sz w:val="24"/>
          <w:szCs w:val="24"/>
        </w:rPr>
      </w:pPr>
      <w:r w:rsidRPr="001339CD">
        <w:rPr>
          <w:sz w:val="24"/>
          <w:szCs w:val="24"/>
        </w:rPr>
        <w:t xml:space="preserve">İkinci Daire </w:t>
      </w:r>
    </w:p>
    <w:p w14:paraId="22780EA3" w14:textId="77777777" w:rsidR="00F40840" w:rsidRPr="001339CD" w:rsidRDefault="00F40840" w:rsidP="00F40840">
      <w:pPr>
        <w:spacing w:after="0"/>
        <w:rPr>
          <w:sz w:val="24"/>
          <w:szCs w:val="24"/>
        </w:rPr>
      </w:pPr>
      <w:r w:rsidRPr="001339CD">
        <w:rPr>
          <w:sz w:val="24"/>
          <w:szCs w:val="24"/>
        </w:rPr>
        <w:t xml:space="preserve">Yazı İşleri Müdürünün dikkatine, acil </w:t>
      </w:r>
    </w:p>
    <w:p w14:paraId="72D64DD7" w14:textId="77777777" w:rsidR="00F40840" w:rsidRPr="001339CD" w:rsidRDefault="00F40840" w:rsidP="00F40840">
      <w:pPr>
        <w:spacing w:after="0"/>
        <w:rPr>
          <w:sz w:val="24"/>
          <w:szCs w:val="24"/>
        </w:rPr>
      </w:pPr>
      <w:r w:rsidRPr="001339CD">
        <w:rPr>
          <w:sz w:val="24"/>
          <w:szCs w:val="24"/>
        </w:rPr>
        <w:t xml:space="preserve">Avrupa Konseyi </w:t>
      </w:r>
    </w:p>
    <w:p w14:paraId="22752E03" w14:textId="77777777" w:rsidR="00F40840" w:rsidRPr="001339CD" w:rsidRDefault="00F40840" w:rsidP="00F40840">
      <w:pPr>
        <w:spacing w:after="0"/>
        <w:rPr>
          <w:sz w:val="24"/>
          <w:szCs w:val="24"/>
        </w:rPr>
      </w:pPr>
      <w:r w:rsidRPr="001339CD">
        <w:rPr>
          <w:sz w:val="24"/>
          <w:szCs w:val="24"/>
        </w:rPr>
        <w:t xml:space="preserve">F-67075 STRAZBURG CEDEKS </w:t>
      </w:r>
    </w:p>
    <w:p w14:paraId="0472FB24" w14:textId="77777777" w:rsidR="00F40840" w:rsidRPr="001339CD" w:rsidRDefault="00F40840" w:rsidP="00F40840">
      <w:pPr>
        <w:spacing w:after="0"/>
        <w:jc w:val="right"/>
        <w:rPr>
          <w:sz w:val="24"/>
          <w:szCs w:val="24"/>
        </w:rPr>
      </w:pPr>
      <w:r w:rsidRPr="001339CD">
        <w:rPr>
          <w:sz w:val="24"/>
          <w:szCs w:val="24"/>
        </w:rPr>
        <w:t xml:space="preserve">Tarih Kaşesi: 15 Eylül 2021-11-12 Geliş </w:t>
      </w:r>
    </w:p>
    <w:p w14:paraId="4A194395" w14:textId="77777777" w:rsidR="00F40840" w:rsidRPr="001339CD" w:rsidRDefault="00F40840" w:rsidP="00F40840">
      <w:pPr>
        <w:spacing w:after="0"/>
        <w:jc w:val="center"/>
        <w:rPr>
          <w:sz w:val="24"/>
          <w:szCs w:val="24"/>
        </w:rPr>
      </w:pPr>
    </w:p>
    <w:p w14:paraId="46428B1D" w14:textId="77777777" w:rsidR="00F40840" w:rsidRPr="001339CD" w:rsidRDefault="00F40840" w:rsidP="00F40840">
      <w:pPr>
        <w:spacing w:after="0"/>
        <w:jc w:val="center"/>
        <w:rPr>
          <w:sz w:val="24"/>
          <w:szCs w:val="24"/>
        </w:rPr>
      </w:pPr>
      <w:r w:rsidRPr="001339CD">
        <w:rPr>
          <w:sz w:val="24"/>
          <w:szCs w:val="24"/>
        </w:rPr>
        <w:t xml:space="preserve">Türkiye karşısında Dilek KAYA DAVASI </w:t>
      </w:r>
    </w:p>
    <w:p w14:paraId="01DFA52A" w14:textId="77777777" w:rsidR="00F40840" w:rsidRPr="001339CD" w:rsidRDefault="00F40840" w:rsidP="00F40840">
      <w:pPr>
        <w:spacing w:after="0"/>
        <w:jc w:val="center"/>
        <w:rPr>
          <w:sz w:val="24"/>
          <w:szCs w:val="24"/>
        </w:rPr>
      </w:pPr>
      <w:r w:rsidRPr="001339CD">
        <w:rPr>
          <w:sz w:val="24"/>
          <w:szCs w:val="24"/>
        </w:rPr>
        <w:t>(Başvuru No: 51194/19)</w:t>
      </w:r>
    </w:p>
    <w:p w14:paraId="7BCFF6A0" w14:textId="77777777" w:rsidR="00F40840" w:rsidRPr="001339CD" w:rsidRDefault="00F40840" w:rsidP="00F40840">
      <w:pPr>
        <w:spacing w:after="0"/>
        <w:rPr>
          <w:sz w:val="24"/>
          <w:szCs w:val="24"/>
        </w:rPr>
      </w:pPr>
    </w:p>
    <w:p w14:paraId="74354512" w14:textId="77777777" w:rsidR="00F40840" w:rsidRPr="001339CD" w:rsidRDefault="00F40840" w:rsidP="00F40840">
      <w:pPr>
        <w:spacing w:after="0"/>
        <w:rPr>
          <w:sz w:val="24"/>
          <w:szCs w:val="24"/>
        </w:rPr>
      </w:pPr>
      <w:r w:rsidRPr="001339CD">
        <w:rPr>
          <w:sz w:val="24"/>
          <w:szCs w:val="24"/>
        </w:rPr>
        <w:t xml:space="preserve">Sayın Daire Başkanı, </w:t>
      </w:r>
    </w:p>
    <w:p w14:paraId="3AA7B881" w14:textId="77777777" w:rsidR="00F40840" w:rsidRPr="001339CD" w:rsidRDefault="00F40840" w:rsidP="00F40840">
      <w:pPr>
        <w:spacing w:after="0"/>
        <w:rPr>
          <w:sz w:val="24"/>
          <w:szCs w:val="24"/>
        </w:rPr>
      </w:pPr>
    </w:p>
    <w:p w14:paraId="4F5DF52B" w14:textId="77777777" w:rsidR="00F40840" w:rsidRPr="001339CD" w:rsidRDefault="004E73D5" w:rsidP="00DA77F8">
      <w:pPr>
        <w:spacing w:after="0"/>
        <w:jc w:val="both"/>
        <w:rPr>
          <w:sz w:val="24"/>
          <w:szCs w:val="24"/>
        </w:rPr>
      </w:pPr>
      <w:r w:rsidRPr="001339CD">
        <w:rPr>
          <w:sz w:val="24"/>
          <w:szCs w:val="24"/>
        </w:rPr>
        <w:t xml:space="preserve">Avrupa Sendikalar Konfederasyonu </w:t>
      </w:r>
      <w:r w:rsidR="006D096C" w:rsidRPr="001339CD">
        <w:rPr>
          <w:sz w:val="24"/>
          <w:szCs w:val="24"/>
        </w:rPr>
        <w:t xml:space="preserve">(ETUC) </w:t>
      </w:r>
      <w:r w:rsidRPr="001339CD">
        <w:rPr>
          <w:sz w:val="24"/>
          <w:szCs w:val="24"/>
        </w:rPr>
        <w:t>size Mahkeme Kuralları, 44(3) Kuralına tabi olarak bu vakada müdahil olma isteğiyle yazmaktadır. Bu istek, Avrupa İnsan Hakları Konvansiyonun (Konvansiyon) 36(2) Maddesine göre “adaletin iyi uygulanması</w:t>
      </w:r>
      <w:r w:rsidR="006D096C" w:rsidRPr="001339CD">
        <w:rPr>
          <w:sz w:val="24"/>
          <w:szCs w:val="24"/>
        </w:rPr>
        <w:t xml:space="preserve"> adına</w:t>
      </w:r>
      <w:r w:rsidRPr="001339CD">
        <w:rPr>
          <w:sz w:val="24"/>
          <w:szCs w:val="24"/>
        </w:rPr>
        <w:t>”</w:t>
      </w:r>
      <w:r w:rsidR="006D096C" w:rsidRPr="001339CD">
        <w:rPr>
          <w:sz w:val="24"/>
          <w:szCs w:val="24"/>
        </w:rPr>
        <w:t xml:space="preserve"> yapılması gerektiğine inanıldığı için yapılmaktadır. </w:t>
      </w:r>
    </w:p>
    <w:p w14:paraId="62935753" w14:textId="77777777" w:rsidR="006D096C" w:rsidRPr="001339CD" w:rsidRDefault="006D096C" w:rsidP="00DA77F8">
      <w:pPr>
        <w:spacing w:after="0"/>
        <w:jc w:val="both"/>
        <w:rPr>
          <w:sz w:val="24"/>
          <w:szCs w:val="24"/>
        </w:rPr>
      </w:pPr>
    </w:p>
    <w:p w14:paraId="4989E9C9" w14:textId="77777777" w:rsidR="006D096C" w:rsidRPr="001339CD" w:rsidRDefault="006D096C" w:rsidP="00DA77F8">
      <w:pPr>
        <w:spacing w:after="0"/>
        <w:jc w:val="both"/>
        <w:rPr>
          <w:sz w:val="24"/>
          <w:szCs w:val="24"/>
        </w:rPr>
      </w:pPr>
      <w:r w:rsidRPr="001339CD">
        <w:rPr>
          <w:sz w:val="24"/>
          <w:szCs w:val="24"/>
        </w:rPr>
        <w:t xml:space="preserve">ETUC’UN Rolü </w:t>
      </w:r>
    </w:p>
    <w:p w14:paraId="4ADAADAB" w14:textId="77777777" w:rsidR="006D096C" w:rsidRPr="001339CD" w:rsidRDefault="006D096C" w:rsidP="00DA77F8">
      <w:pPr>
        <w:spacing w:after="0"/>
        <w:jc w:val="both"/>
        <w:rPr>
          <w:sz w:val="24"/>
          <w:szCs w:val="24"/>
        </w:rPr>
      </w:pPr>
    </w:p>
    <w:p w14:paraId="4245574E" w14:textId="77777777" w:rsidR="00F40840" w:rsidRPr="001339CD" w:rsidRDefault="006D096C" w:rsidP="00DA77F8">
      <w:pPr>
        <w:spacing w:after="0"/>
        <w:jc w:val="both"/>
        <w:rPr>
          <w:sz w:val="24"/>
          <w:szCs w:val="24"/>
        </w:rPr>
      </w:pPr>
      <w:r w:rsidRPr="001339CD">
        <w:rPr>
          <w:sz w:val="24"/>
          <w:szCs w:val="24"/>
        </w:rPr>
        <w:t xml:space="preserve">ETUC </w:t>
      </w:r>
      <w:r w:rsidR="00B6398B" w:rsidRPr="001339CD">
        <w:rPr>
          <w:sz w:val="24"/>
          <w:szCs w:val="24"/>
        </w:rPr>
        <w:t xml:space="preserve">38 ülkede </w:t>
      </w:r>
      <w:r w:rsidRPr="001339CD">
        <w:rPr>
          <w:sz w:val="24"/>
          <w:szCs w:val="24"/>
        </w:rPr>
        <w:t xml:space="preserve">90 ulusal sendikaya (bunlar arasında Türk sendikaları DİSK, HAK-İŞ, TÜRK-İŞ ve KESK sendikaları da bulunmaktadır, KESK’ten 9 Temmuz 2021 tarihli yazışmada “Dava konusu” olarak söz edilmektedir) </w:t>
      </w:r>
      <w:r w:rsidR="00B6398B" w:rsidRPr="001339CD">
        <w:rPr>
          <w:sz w:val="24"/>
          <w:szCs w:val="24"/>
        </w:rPr>
        <w:t xml:space="preserve">üye olan 45 milyon civarında emekçiyi temsil etmektedir, bu ülkelerin tamamı Konvansiyonu kabul etmiştir. 10 Avrupa sendika federasyonu farklı sektörlerdeki emekçileri temsil eden ETUC’A bağlıdır, bunlar arasında </w:t>
      </w:r>
      <w:r w:rsidR="0024310F" w:rsidRPr="001339CD">
        <w:rPr>
          <w:sz w:val="24"/>
          <w:szCs w:val="24"/>
        </w:rPr>
        <w:t xml:space="preserve">genelde kamu sektörüyle ilgili </w:t>
      </w:r>
      <w:r w:rsidR="00CE677E" w:rsidRPr="001339CD">
        <w:rPr>
          <w:sz w:val="24"/>
          <w:szCs w:val="24"/>
          <w:u w:val="single"/>
        </w:rPr>
        <w:t>Avrupa Kamu Hizmetleri Sendikaları Federasyonu (EPSU)</w:t>
      </w:r>
      <w:r w:rsidR="00CE677E" w:rsidRPr="001339CD">
        <w:rPr>
          <w:sz w:val="24"/>
          <w:szCs w:val="24"/>
        </w:rPr>
        <w:t xml:space="preserve"> ve eğitim sektörüyle ilgili </w:t>
      </w:r>
      <w:r w:rsidR="00CE677E" w:rsidRPr="001339CD">
        <w:rPr>
          <w:sz w:val="24"/>
          <w:szCs w:val="24"/>
          <w:u w:val="single"/>
        </w:rPr>
        <w:t>Avrupa Sendikalar Komitesi (ETUCE)</w:t>
      </w:r>
      <w:r w:rsidR="00CE677E" w:rsidRPr="001339CD">
        <w:rPr>
          <w:sz w:val="24"/>
          <w:szCs w:val="24"/>
        </w:rPr>
        <w:t xml:space="preserve"> de bunmaktadır, bunların her ikisi de aktif sektörlerdir ve ikisinden de “Dava konusu” olarak söz edilmektedir. ETUC’un özellikle sosyal haklar olmak üzere insan haklarının korunmasıyla ilgili olarak yalnızca üyelerinin yaşadığı ülkelerde değil, genelde uzun süredir endişe duymaktadır. </w:t>
      </w:r>
    </w:p>
    <w:p w14:paraId="79333189" w14:textId="77777777" w:rsidR="00CE677E" w:rsidRPr="001339CD" w:rsidRDefault="00CE677E" w:rsidP="00DA77F8">
      <w:pPr>
        <w:spacing w:after="0"/>
        <w:jc w:val="both"/>
        <w:rPr>
          <w:sz w:val="24"/>
          <w:szCs w:val="24"/>
        </w:rPr>
      </w:pPr>
    </w:p>
    <w:p w14:paraId="3C004BAE" w14:textId="77777777" w:rsidR="00CE677E" w:rsidRPr="001339CD" w:rsidRDefault="00CE677E" w:rsidP="00DA77F8">
      <w:pPr>
        <w:spacing w:after="0"/>
        <w:jc w:val="both"/>
        <w:rPr>
          <w:sz w:val="24"/>
          <w:szCs w:val="24"/>
        </w:rPr>
      </w:pPr>
      <w:r w:rsidRPr="001339CD">
        <w:rPr>
          <w:sz w:val="24"/>
          <w:szCs w:val="24"/>
        </w:rPr>
        <w:t xml:space="preserve">Ben EUTC Genel Sekreteri olarak aynı zamanda </w:t>
      </w:r>
      <w:r w:rsidR="006D0B6E" w:rsidRPr="001339CD">
        <w:rPr>
          <w:sz w:val="24"/>
          <w:szCs w:val="24"/>
        </w:rPr>
        <w:t xml:space="preserve">55 Avrupa ülkesindeki 90 ulusal sendikayı bir araya getiren </w:t>
      </w:r>
      <w:r w:rsidRPr="001339CD">
        <w:rPr>
          <w:sz w:val="24"/>
          <w:szCs w:val="24"/>
        </w:rPr>
        <w:t xml:space="preserve">Pan-Avrupa Bölgeler Konseyinin de Genel Sekreteriyim. </w:t>
      </w:r>
      <w:r w:rsidR="006D0B6E" w:rsidRPr="001339CD">
        <w:rPr>
          <w:sz w:val="24"/>
          <w:szCs w:val="24"/>
        </w:rPr>
        <w:t xml:space="preserve">Bu Kuruluş ayrıca uluslararası düzeyde Küresel Sendika Federasyonlarına ve ETUC’a bağlı Avrupa Endüstri Federasyonlarına da açıktır. (Daha fazla bilgi için bakınız </w:t>
      </w:r>
      <w:hyperlink r:id="rId5" w:history="1">
        <w:r w:rsidR="006D0B6E" w:rsidRPr="001339CD">
          <w:rPr>
            <w:rStyle w:val="Kpr"/>
            <w:sz w:val="24"/>
            <w:szCs w:val="24"/>
          </w:rPr>
          <w:t>https://ituc-csl.org/</w:t>
        </w:r>
      </w:hyperlink>
      <w:r w:rsidR="006D0B6E" w:rsidRPr="001339CD">
        <w:rPr>
          <w:sz w:val="24"/>
          <w:szCs w:val="24"/>
        </w:rPr>
        <w:t>.)</w:t>
      </w:r>
    </w:p>
    <w:p w14:paraId="7264363D" w14:textId="77777777" w:rsidR="006D0B6E" w:rsidRPr="001339CD" w:rsidRDefault="006D0B6E" w:rsidP="00DA77F8">
      <w:pPr>
        <w:spacing w:after="0"/>
        <w:jc w:val="both"/>
        <w:rPr>
          <w:sz w:val="24"/>
          <w:szCs w:val="24"/>
        </w:rPr>
      </w:pPr>
    </w:p>
    <w:p w14:paraId="0981AECF" w14:textId="77777777" w:rsidR="006D0B6E" w:rsidRPr="001339CD" w:rsidRDefault="001833A6" w:rsidP="00DA77F8">
      <w:pPr>
        <w:spacing w:after="0"/>
        <w:jc w:val="both"/>
        <w:rPr>
          <w:sz w:val="24"/>
          <w:szCs w:val="24"/>
        </w:rPr>
      </w:pPr>
      <w:r w:rsidRPr="001339CD">
        <w:rPr>
          <w:sz w:val="24"/>
          <w:szCs w:val="24"/>
        </w:rPr>
        <w:lastRenderedPageBreak/>
        <w:t xml:space="preserve">ETUC Avrupa Konseyinde ve Avrupa Birliğinde önemli bir rol oynamaktadır. ETUC </w:t>
      </w:r>
      <w:proofErr w:type="gramStart"/>
      <w:r w:rsidRPr="001339CD">
        <w:rPr>
          <w:sz w:val="24"/>
          <w:szCs w:val="24"/>
        </w:rPr>
        <w:t>spesifik</w:t>
      </w:r>
      <w:proofErr w:type="gramEnd"/>
      <w:r w:rsidRPr="001339CD">
        <w:rPr>
          <w:sz w:val="24"/>
          <w:szCs w:val="24"/>
        </w:rPr>
        <w:t xml:space="preserve"> olarak Avrupa Konseyinde kolektif şikâyet sistemi getiren Ek 1995 Protokolü (‘Kolektif Şikâyet Prosedürü Protokolü’ - CCPP) ve 1996 tarihli Revize Edilmiş Avrupa Sosyal Haklar Sözleşmesi gibi temel sosyal hakları güvenceye alan yeni metinlerin hazırlanmasına katılmaktadır. </w:t>
      </w:r>
    </w:p>
    <w:p w14:paraId="4F1BFD5C" w14:textId="77777777" w:rsidR="001833A6" w:rsidRPr="001339CD" w:rsidRDefault="001833A6" w:rsidP="00DA77F8">
      <w:pPr>
        <w:spacing w:after="0"/>
        <w:jc w:val="both"/>
        <w:rPr>
          <w:sz w:val="24"/>
          <w:szCs w:val="24"/>
        </w:rPr>
      </w:pPr>
    </w:p>
    <w:p w14:paraId="7FD39B2B" w14:textId="77777777" w:rsidR="00EF0E24" w:rsidRPr="001339CD" w:rsidRDefault="001833A6" w:rsidP="00DA77F8">
      <w:pPr>
        <w:spacing w:after="0"/>
        <w:jc w:val="both"/>
        <w:rPr>
          <w:sz w:val="24"/>
          <w:szCs w:val="24"/>
        </w:rPr>
      </w:pPr>
      <w:r w:rsidRPr="001339CD">
        <w:rPr>
          <w:sz w:val="24"/>
          <w:szCs w:val="24"/>
        </w:rPr>
        <w:t xml:space="preserve">ETUC ayrıca mevcut denetim </w:t>
      </w:r>
      <w:proofErr w:type="gramStart"/>
      <w:r w:rsidRPr="001339CD">
        <w:rPr>
          <w:sz w:val="24"/>
          <w:szCs w:val="24"/>
        </w:rPr>
        <w:t>prosedürleriyle</w:t>
      </w:r>
      <w:proofErr w:type="gramEnd"/>
      <w:r w:rsidRPr="001339CD">
        <w:rPr>
          <w:sz w:val="24"/>
          <w:szCs w:val="24"/>
        </w:rPr>
        <w:t xml:space="preserve"> de ilgilenmektedir. ETUC</w:t>
      </w:r>
      <w:r w:rsidR="00EF0E24" w:rsidRPr="001339CD">
        <w:rPr>
          <w:sz w:val="24"/>
          <w:szCs w:val="24"/>
        </w:rPr>
        <w:t xml:space="preserve"> Avrupa Sosyal Haklar Sözleşmesi Hükümetler Komitesine yasal bir temelde katılmaktadır. CCPP 1. Maddesine göre kolektif şikâyetlerde bulunmaya ve takip eden hukuki işlemlerde görüş belirtmeye de yetilidir. </w:t>
      </w:r>
    </w:p>
    <w:p w14:paraId="73F4BE46" w14:textId="77777777" w:rsidR="00EF0E24" w:rsidRPr="001339CD" w:rsidRDefault="00EF0E24" w:rsidP="00F40840">
      <w:pPr>
        <w:spacing w:after="0"/>
        <w:rPr>
          <w:sz w:val="24"/>
          <w:szCs w:val="24"/>
        </w:rPr>
      </w:pPr>
    </w:p>
    <w:p w14:paraId="0F3474CD" w14:textId="77777777" w:rsidR="00EF0E24" w:rsidRPr="001339CD" w:rsidRDefault="00EF0E24" w:rsidP="00DA77F8">
      <w:pPr>
        <w:spacing w:after="0"/>
        <w:jc w:val="both"/>
        <w:rPr>
          <w:sz w:val="24"/>
          <w:szCs w:val="24"/>
        </w:rPr>
      </w:pPr>
      <w:r w:rsidRPr="001339CD">
        <w:rPr>
          <w:sz w:val="24"/>
          <w:szCs w:val="24"/>
        </w:rPr>
        <w:t>AİHM açısından, ETUC farklı düzeylerde aktiftir. Sosyal hakların garanti altına alınması ve –danışma yoluyla – AB’nin AİHM’ye erişiminin teşvik edilmesi olasılığını inceleyen Çalışma Grubuna katılmıştır. 2014’te İnsan Hakları Yönlendirme Komitesinde (CDDH) k</w:t>
      </w:r>
      <w:r w:rsidR="0050367B" w:rsidRPr="001339CD">
        <w:rPr>
          <w:sz w:val="24"/>
          <w:szCs w:val="24"/>
        </w:rPr>
        <w:t xml:space="preserve">alıcı gözlemci statüsü almıştır, diğerlerinin yanında Avrupa Konseyinde sosyal hakların (yasal olarak) korunması/uygulanması yolları hakkında bir rapor ve tavsiye taslakları hazırlamış olan </w:t>
      </w:r>
      <w:r w:rsidR="0050367B" w:rsidRPr="001339CD">
        <w:rPr>
          <w:sz w:val="24"/>
          <w:szCs w:val="24"/>
          <w:u w:val="single"/>
        </w:rPr>
        <w:t>CDDH-SOC</w:t>
      </w:r>
      <w:r w:rsidR="0050367B" w:rsidRPr="001339CD">
        <w:rPr>
          <w:sz w:val="24"/>
          <w:szCs w:val="24"/>
        </w:rPr>
        <w:t xml:space="preserve"> gibi bazı Çalışma ve Taslak Gruplarında da aktiftir. </w:t>
      </w:r>
    </w:p>
    <w:p w14:paraId="6A718934" w14:textId="77777777" w:rsidR="0050367B" w:rsidRPr="001339CD" w:rsidRDefault="0050367B" w:rsidP="00DA77F8">
      <w:pPr>
        <w:spacing w:after="0"/>
        <w:jc w:val="both"/>
        <w:rPr>
          <w:sz w:val="24"/>
          <w:szCs w:val="24"/>
        </w:rPr>
      </w:pPr>
    </w:p>
    <w:p w14:paraId="20A97A97" w14:textId="77777777" w:rsidR="0050367B" w:rsidRPr="001339CD" w:rsidRDefault="0054072B" w:rsidP="00DA77F8">
      <w:pPr>
        <w:spacing w:after="0"/>
        <w:jc w:val="both"/>
        <w:rPr>
          <w:sz w:val="24"/>
          <w:szCs w:val="24"/>
        </w:rPr>
      </w:pPr>
      <w:r w:rsidRPr="001339CD">
        <w:rPr>
          <w:sz w:val="24"/>
          <w:szCs w:val="24"/>
        </w:rPr>
        <w:t xml:space="preserve">ECtHR ile ilgili olarak, ETUC’a daha önce özellikle grev hakkı (Birleşik Krallık karşısında POA, Birleşik Krallık karşısında RMT, Ukrayna karşısında V. Tymoshenko, Almanya karşısında Humpert ve diğerleri) ile ilgili davalar olmak üzere Yüce Divanda ve Mahkemenin hemen hemen tüm Dairelerinde görülen davalarla ilgili olarak yazılı sunumlar yapma hakkını almıştır. </w:t>
      </w:r>
    </w:p>
    <w:p w14:paraId="20D0BF82" w14:textId="77777777" w:rsidR="0054072B" w:rsidRPr="001339CD" w:rsidRDefault="0054072B" w:rsidP="00DA77F8">
      <w:pPr>
        <w:spacing w:after="0"/>
        <w:jc w:val="both"/>
        <w:rPr>
          <w:sz w:val="24"/>
          <w:szCs w:val="24"/>
        </w:rPr>
      </w:pPr>
    </w:p>
    <w:p w14:paraId="034FB11A" w14:textId="77777777" w:rsidR="0054072B" w:rsidRPr="001339CD" w:rsidRDefault="00EE1605" w:rsidP="00DA77F8">
      <w:pPr>
        <w:spacing w:after="0"/>
        <w:jc w:val="both"/>
        <w:rPr>
          <w:sz w:val="24"/>
          <w:szCs w:val="24"/>
        </w:rPr>
      </w:pPr>
      <w:r w:rsidRPr="001339CD">
        <w:rPr>
          <w:sz w:val="24"/>
          <w:szCs w:val="24"/>
        </w:rPr>
        <w:t xml:space="preserve">AB içinde ETUC’un sosyal bir </w:t>
      </w:r>
      <w:proofErr w:type="gramStart"/>
      <w:r w:rsidRPr="001339CD">
        <w:rPr>
          <w:sz w:val="24"/>
          <w:szCs w:val="24"/>
        </w:rPr>
        <w:t>partner</w:t>
      </w:r>
      <w:proofErr w:type="gramEnd"/>
      <w:r w:rsidRPr="001339CD">
        <w:rPr>
          <w:sz w:val="24"/>
          <w:szCs w:val="24"/>
        </w:rPr>
        <w:t xml:space="preserve"> olarak rolü genelde Antlaşma düzeyinde tanınmaktadır ve özellikle sosyal politikalar alanında öngörülen yasama önlemleri olmak üzere </w:t>
      </w:r>
      <w:r w:rsidR="0010714F" w:rsidRPr="001339CD">
        <w:rPr>
          <w:sz w:val="24"/>
          <w:szCs w:val="24"/>
        </w:rPr>
        <w:t>E</w:t>
      </w:r>
      <w:r w:rsidRPr="001339CD">
        <w:rPr>
          <w:sz w:val="24"/>
          <w:szCs w:val="24"/>
        </w:rPr>
        <w:t xml:space="preserve">TUC’a danışılması gerekmektedir (TFEU, Madde 154). </w:t>
      </w:r>
    </w:p>
    <w:p w14:paraId="2349E1E1" w14:textId="77777777" w:rsidR="00EE1605" w:rsidRPr="001339CD" w:rsidRDefault="00EE1605" w:rsidP="00DA77F8">
      <w:pPr>
        <w:spacing w:after="0"/>
        <w:jc w:val="both"/>
        <w:rPr>
          <w:sz w:val="24"/>
          <w:szCs w:val="24"/>
        </w:rPr>
      </w:pPr>
    </w:p>
    <w:p w14:paraId="646B2764" w14:textId="77777777" w:rsidR="0050367B" w:rsidRPr="001339CD" w:rsidRDefault="00EE1605" w:rsidP="00DA77F8">
      <w:pPr>
        <w:spacing w:after="0"/>
        <w:jc w:val="both"/>
        <w:rPr>
          <w:sz w:val="24"/>
          <w:szCs w:val="24"/>
        </w:rPr>
      </w:pPr>
      <w:r w:rsidRPr="001339CD">
        <w:rPr>
          <w:sz w:val="24"/>
          <w:szCs w:val="24"/>
        </w:rPr>
        <w:t xml:space="preserve">ETUC’a neden müdahil olma hakkı verilmelidir </w:t>
      </w:r>
    </w:p>
    <w:p w14:paraId="7DD31013" w14:textId="77777777" w:rsidR="00EE1605" w:rsidRPr="001339CD" w:rsidRDefault="00EE1605" w:rsidP="00DA77F8">
      <w:pPr>
        <w:spacing w:after="0"/>
        <w:jc w:val="both"/>
        <w:rPr>
          <w:sz w:val="24"/>
          <w:szCs w:val="24"/>
        </w:rPr>
      </w:pPr>
    </w:p>
    <w:p w14:paraId="251CA68F" w14:textId="77777777" w:rsidR="00EE1605" w:rsidRPr="001339CD" w:rsidRDefault="00D00877" w:rsidP="00DA77F8">
      <w:pPr>
        <w:spacing w:after="0"/>
        <w:jc w:val="both"/>
        <w:rPr>
          <w:sz w:val="24"/>
          <w:szCs w:val="24"/>
        </w:rPr>
      </w:pPr>
      <w:r w:rsidRPr="001339CD">
        <w:rPr>
          <w:sz w:val="24"/>
          <w:szCs w:val="24"/>
        </w:rPr>
        <w:t>‘Dava Konusuna’ göre ve özellikle de ‘Taraflara Sorulara’ referansla, ana sorun başvuranın (kamu sektöründeki) bir öğretmen olarak sendikasının çağrı yaptığı protesto grevine katılması ve kendisine bunu yaptığı için getirilen yaptırımlarla ilgilidir. Mahkeme Konvansiyonun 6</w:t>
      </w:r>
      <w:r w:rsidRPr="001339CD">
        <w:rPr>
          <w:rFonts w:cstheme="minorHAnsi"/>
          <w:sz w:val="24"/>
          <w:szCs w:val="24"/>
        </w:rPr>
        <w:t>§</w:t>
      </w:r>
      <w:r w:rsidRPr="001339CD">
        <w:rPr>
          <w:sz w:val="24"/>
          <w:szCs w:val="24"/>
        </w:rPr>
        <w:t xml:space="preserve">1, 11 ve 14. Maddelerine uyumu sorgulamaktadır. </w:t>
      </w:r>
    </w:p>
    <w:p w14:paraId="572E86F4" w14:textId="77777777" w:rsidR="00D00877" w:rsidRPr="001339CD" w:rsidRDefault="00D00877" w:rsidP="00DA77F8">
      <w:pPr>
        <w:spacing w:after="0"/>
        <w:jc w:val="both"/>
        <w:rPr>
          <w:sz w:val="24"/>
          <w:szCs w:val="24"/>
        </w:rPr>
      </w:pPr>
    </w:p>
    <w:p w14:paraId="2EFC11AA" w14:textId="77777777" w:rsidR="00D00877" w:rsidRPr="001339CD" w:rsidRDefault="00D00877" w:rsidP="00DA77F8">
      <w:pPr>
        <w:spacing w:after="0"/>
        <w:jc w:val="both"/>
        <w:rPr>
          <w:sz w:val="24"/>
          <w:szCs w:val="24"/>
        </w:rPr>
      </w:pPr>
      <w:r w:rsidRPr="001339CD">
        <w:rPr>
          <w:sz w:val="24"/>
          <w:szCs w:val="24"/>
        </w:rPr>
        <w:t xml:space="preserve">Grev hakkı sendika faaliyetleri açısından son derece önemlidir. </w:t>
      </w:r>
      <w:r w:rsidR="00286A70" w:rsidRPr="001339CD">
        <w:rPr>
          <w:sz w:val="24"/>
          <w:szCs w:val="24"/>
        </w:rPr>
        <w:t xml:space="preserve">Grev hakkına getirilen /bu hakla ilgili her türlü kısıtlamanın çok daha ileri sonuçları olur /olabilir. EUTC grev hakkıyla ilgili olarak devletlerin emekçilerin etkin bir şekilde güvenceye alınmasını gerçekleştirmeyecekleri konusunda endişelidir. Mevcut davada Mahkemenin uygulayacağı prensipler ve işlemlerin sonuçları üzerinde meşru menfaat sahibidir. </w:t>
      </w:r>
    </w:p>
    <w:p w14:paraId="173E6420" w14:textId="77777777" w:rsidR="00286A70" w:rsidRPr="001339CD" w:rsidRDefault="00286A70" w:rsidP="00DA77F8">
      <w:pPr>
        <w:spacing w:after="0"/>
        <w:jc w:val="both"/>
        <w:rPr>
          <w:sz w:val="24"/>
          <w:szCs w:val="24"/>
        </w:rPr>
      </w:pPr>
    </w:p>
    <w:p w14:paraId="4F93F066" w14:textId="77777777" w:rsidR="00286A70" w:rsidRPr="001339CD" w:rsidRDefault="00286A70" w:rsidP="00DA77F8">
      <w:pPr>
        <w:spacing w:after="0"/>
        <w:jc w:val="both"/>
        <w:rPr>
          <w:sz w:val="24"/>
          <w:szCs w:val="24"/>
        </w:rPr>
      </w:pPr>
      <w:r w:rsidRPr="001339CD">
        <w:rPr>
          <w:sz w:val="24"/>
          <w:szCs w:val="24"/>
        </w:rPr>
        <w:t xml:space="preserve">ETUC’un bu gibi sorunlar hakkında kendine özgü görüşleri bunmaktadır. Grev hakkının kullanılmasının prensipleri ve bunlarla ilgili sorunlar ve devletlerin hem genel de hem de kamu sektöründe getirdiği sınırlamalar hakkında geniş deneyim ve bilgiye sahiptir. Bu bilgi ayrıca </w:t>
      </w:r>
      <w:r w:rsidRPr="001339CD">
        <w:rPr>
          <w:sz w:val="24"/>
          <w:szCs w:val="24"/>
        </w:rPr>
        <w:lastRenderedPageBreak/>
        <w:t xml:space="preserve">Avrupa Sendikalar Enstitüsünün (ETUI) tarafından EPSU için yaptığı (kamu sektöründe) grev hakkı hakkındaki </w:t>
      </w:r>
      <w:r w:rsidRPr="001339CD">
        <w:rPr>
          <w:sz w:val="24"/>
          <w:szCs w:val="24"/>
          <w:u w:val="single"/>
        </w:rPr>
        <w:t>yeni bir çalışma</w:t>
      </w:r>
      <w:r w:rsidRPr="001339CD">
        <w:rPr>
          <w:sz w:val="24"/>
          <w:szCs w:val="24"/>
        </w:rPr>
        <w:t xml:space="preserve"> gibi bilisel araştırmalara da dayanmaktadır. </w:t>
      </w:r>
    </w:p>
    <w:p w14:paraId="797A4B8C" w14:textId="77777777" w:rsidR="00286A70" w:rsidRPr="001339CD" w:rsidRDefault="00286A70" w:rsidP="00DA77F8">
      <w:pPr>
        <w:spacing w:after="0"/>
        <w:jc w:val="both"/>
        <w:rPr>
          <w:sz w:val="24"/>
          <w:szCs w:val="24"/>
        </w:rPr>
      </w:pPr>
    </w:p>
    <w:p w14:paraId="63B13989" w14:textId="77777777" w:rsidR="00286A70" w:rsidRPr="001339CD" w:rsidRDefault="00286A70" w:rsidP="00DA77F8">
      <w:pPr>
        <w:spacing w:after="0"/>
        <w:jc w:val="both"/>
        <w:rPr>
          <w:sz w:val="24"/>
          <w:szCs w:val="24"/>
        </w:rPr>
      </w:pPr>
      <w:r w:rsidRPr="001339CD">
        <w:rPr>
          <w:sz w:val="24"/>
          <w:szCs w:val="24"/>
        </w:rPr>
        <w:t xml:space="preserve">Özelde, ETUC </w:t>
      </w:r>
      <w:r w:rsidR="0087387D" w:rsidRPr="001339CD">
        <w:rPr>
          <w:sz w:val="24"/>
          <w:szCs w:val="24"/>
        </w:rPr>
        <w:t xml:space="preserve">genelde ve daha </w:t>
      </w:r>
      <w:proofErr w:type="gramStart"/>
      <w:r w:rsidR="0087387D" w:rsidRPr="001339CD">
        <w:rPr>
          <w:sz w:val="24"/>
          <w:szCs w:val="24"/>
        </w:rPr>
        <w:t>spesifik</w:t>
      </w:r>
      <w:proofErr w:type="gramEnd"/>
      <w:r w:rsidR="0087387D" w:rsidRPr="001339CD">
        <w:rPr>
          <w:sz w:val="24"/>
          <w:szCs w:val="24"/>
        </w:rPr>
        <w:t xml:space="preserve"> olarak devlet memurlarının grev haklarıyla ilgili </w:t>
      </w:r>
      <w:r w:rsidRPr="001339CD">
        <w:rPr>
          <w:sz w:val="24"/>
          <w:szCs w:val="24"/>
        </w:rPr>
        <w:t xml:space="preserve">uluslararası (UN ve ILO), Avrupa (Avrupa Konseyi ve AB) ve ulusal enstrümanları ve ilgili </w:t>
      </w:r>
      <w:r w:rsidR="0087387D" w:rsidRPr="001339CD">
        <w:rPr>
          <w:sz w:val="24"/>
          <w:szCs w:val="24"/>
        </w:rPr>
        <w:t xml:space="preserve">içtihadı bilmektedir. </w:t>
      </w:r>
    </w:p>
    <w:p w14:paraId="20F92A64" w14:textId="77777777" w:rsidR="0087387D" w:rsidRPr="001339CD" w:rsidRDefault="0087387D" w:rsidP="00DA77F8">
      <w:pPr>
        <w:spacing w:after="0"/>
        <w:jc w:val="both"/>
        <w:rPr>
          <w:sz w:val="24"/>
          <w:szCs w:val="24"/>
        </w:rPr>
      </w:pPr>
    </w:p>
    <w:p w14:paraId="11DC0E34" w14:textId="77777777" w:rsidR="0087387D" w:rsidRPr="001339CD" w:rsidRDefault="0087387D" w:rsidP="00DA77F8">
      <w:pPr>
        <w:spacing w:after="0"/>
        <w:jc w:val="both"/>
        <w:rPr>
          <w:sz w:val="24"/>
          <w:szCs w:val="24"/>
        </w:rPr>
      </w:pPr>
      <w:r w:rsidRPr="001339CD">
        <w:rPr>
          <w:sz w:val="24"/>
          <w:szCs w:val="24"/>
        </w:rPr>
        <w:t>ETUC bu artalana dayanarak Mahkemeye kamu hizmetlerinde grev hakkının sınırlanmasıyla ilgili haklı nedenleri kapsayan sorunlarda hukuki durudaki ek ve daha yeni gelişmeler, ayrımcılık yapılmaması ilgili prosedürel hususlar hakkında bilgi vermek istemektedir, çünkü bunlar bu özel davada söz konusudur. ETUC Mahkemeye bilgi vermeyi önererek adaletin iyi uygulanması aç</w:t>
      </w:r>
      <w:r w:rsidR="0010714F" w:rsidRPr="001339CD">
        <w:rPr>
          <w:sz w:val="24"/>
          <w:szCs w:val="24"/>
        </w:rPr>
        <w:t>ısından bu iş</w:t>
      </w:r>
      <w:r w:rsidRPr="001339CD">
        <w:rPr>
          <w:sz w:val="24"/>
          <w:szCs w:val="24"/>
        </w:rPr>
        <w:t>l</w:t>
      </w:r>
      <w:r w:rsidR="0010714F" w:rsidRPr="001339CD">
        <w:rPr>
          <w:sz w:val="24"/>
          <w:szCs w:val="24"/>
        </w:rPr>
        <w:t>em</w:t>
      </w:r>
      <w:r w:rsidRPr="001339CD">
        <w:rPr>
          <w:sz w:val="24"/>
          <w:szCs w:val="24"/>
        </w:rPr>
        <w:t>le</w:t>
      </w:r>
      <w:r w:rsidR="0010714F" w:rsidRPr="001339CD">
        <w:rPr>
          <w:sz w:val="24"/>
          <w:szCs w:val="24"/>
        </w:rPr>
        <w:t>r</w:t>
      </w:r>
      <w:r w:rsidRPr="001339CD">
        <w:rPr>
          <w:sz w:val="24"/>
          <w:szCs w:val="24"/>
        </w:rPr>
        <w:t xml:space="preserve"> katkıda bulunmayı istemektedir. </w:t>
      </w:r>
    </w:p>
    <w:p w14:paraId="4219AC7E" w14:textId="77777777" w:rsidR="0087387D" w:rsidRPr="001339CD" w:rsidRDefault="0087387D" w:rsidP="00F40840">
      <w:pPr>
        <w:spacing w:after="0"/>
        <w:rPr>
          <w:sz w:val="24"/>
          <w:szCs w:val="24"/>
        </w:rPr>
      </w:pPr>
    </w:p>
    <w:p w14:paraId="6DFB422D" w14:textId="77777777" w:rsidR="0087387D" w:rsidRPr="001339CD" w:rsidRDefault="0087387D" w:rsidP="00DA77F8">
      <w:pPr>
        <w:spacing w:after="0"/>
        <w:jc w:val="both"/>
        <w:rPr>
          <w:sz w:val="24"/>
          <w:szCs w:val="24"/>
        </w:rPr>
      </w:pPr>
      <w:r w:rsidRPr="001339CD">
        <w:rPr>
          <w:sz w:val="24"/>
          <w:szCs w:val="24"/>
        </w:rPr>
        <w:t>ETUC işlemler sırasında müdahil olma ve bu istek hakkında karar verirken Mahkemenin ihtiyaç duyabileceği diğer yardımları temin etme hakkının verilmesinden dolayı minnettar olacakt</w:t>
      </w:r>
      <w:r w:rsidR="00DA77F8" w:rsidRPr="001339CD">
        <w:rPr>
          <w:sz w:val="24"/>
          <w:szCs w:val="24"/>
        </w:rPr>
        <w:t>ı</w:t>
      </w:r>
      <w:r w:rsidRPr="001339CD">
        <w:rPr>
          <w:sz w:val="24"/>
          <w:szCs w:val="24"/>
        </w:rPr>
        <w:t xml:space="preserve">r. </w:t>
      </w:r>
    </w:p>
    <w:p w14:paraId="5B26A179" w14:textId="77777777" w:rsidR="0087387D" w:rsidRPr="001339CD" w:rsidRDefault="0087387D" w:rsidP="00F40840">
      <w:pPr>
        <w:spacing w:after="0"/>
        <w:rPr>
          <w:sz w:val="24"/>
          <w:szCs w:val="24"/>
        </w:rPr>
      </w:pPr>
    </w:p>
    <w:p w14:paraId="740D72CD" w14:textId="77777777" w:rsidR="0087387D" w:rsidRPr="001339CD" w:rsidRDefault="0087387D" w:rsidP="00F40840">
      <w:pPr>
        <w:spacing w:after="0"/>
        <w:rPr>
          <w:sz w:val="24"/>
          <w:szCs w:val="24"/>
        </w:rPr>
      </w:pPr>
      <w:r w:rsidRPr="001339CD">
        <w:rPr>
          <w:sz w:val="24"/>
          <w:szCs w:val="24"/>
        </w:rPr>
        <w:t xml:space="preserve">İçtenlikle, </w:t>
      </w:r>
    </w:p>
    <w:p w14:paraId="42FA0621" w14:textId="77777777" w:rsidR="0087387D" w:rsidRPr="001339CD" w:rsidRDefault="0087387D" w:rsidP="00F40840">
      <w:pPr>
        <w:spacing w:after="0"/>
        <w:rPr>
          <w:sz w:val="24"/>
          <w:szCs w:val="24"/>
        </w:rPr>
      </w:pPr>
      <w:r w:rsidRPr="001339CD">
        <w:rPr>
          <w:sz w:val="24"/>
          <w:szCs w:val="24"/>
        </w:rPr>
        <w:t xml:space="preserve">İmza </w:t>
      </w:r>
    </w:p>
    <w:p w14:paraId="0CC9E9F2" w14:textId="77777777" w:rsidR="0087387D" w:rsidRPr="001339CD" w:rsidRDefault="0087387D" w:rsidP="00F40840">
      <w:pPr>
        <w:spacing w:after="0"/>
        <w:rPr>
          <w:sz w:val="24"/>
          <w:szCs w:val="24"/>
        </w:rPr>
      </w:pPr>
      <w:r w:rsidRPr="001339CD">
        <w:rPr>
          <w:sz w:val="24"/>
          <w:szCs w:val="24"/>
        </w:rPr>
        <w:t>Luca Visent</w:t>
      </w:r>
      <w:r w:rsidR="0010714F" w:rsidRPr="001339CD">
        <w:rPr>
          <w:sz w:val="24"/>
          <w:szCs w:val="24"/>
        </w:rPr>
        <w:t>i</w:t>
      </w:r>
      <w:r w:rsidRPr="001339CD">
        <w:rPr>
          <w:sz w:val="24"/>
          <w:szCs w:val="24"/>
        </w:rPr>
        <w:t xml:space="preserve">ni </w:t>
      </w:r>
    </w:p>
    <w:p w14:paraId="3920A71B" w14:textId="77777777" w:rsidR="0087387D" w:rsidRPr="001339CD" w:rsidRDefault="0087387D" w:rsidP="00F40840">
      <w:pPr>
        <w:spacing w:after="0"/>
        <w:rPr>
          <w:sz w:val="24"/>
          <w:szCs w:val="24"/>
        </w:rPr>
      </w:pPr>
      <w:r w:rsidRPr="001339CD">
        <w:rPr>
          <w:sz w:val="24"/>
          <w:szCs w:val="24"/>
        </w:rPr>
        <w:t xml:space="preserve">Genel Sekreter  </w:t>
      </w:r>
    </w:p>
    <w:sectPr w:rsidR="0087387D" w:rsidRPr="001339CD" w:rsidSect="00675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40"/>
    <w:rsid w:val="0010714F"/>
    <w:rsid w:val="001339CD"/>
    <w:rsid w:val="001833A6"/>
    <w:rsid w:val="0024310F"/>
    <w:rsid w:val="00286A70"/>
    <w:rsid w:val="004E73D5"/>
    <w:rsid w:val="0050367B"/>
    <w:rsid w:val="0054072B"/>
    <w:rsid w:val="00675D3C"/>
    <w:rsid w:val="006D096C"/>
    <w:rsid w:val="006D0B6E"/>
    <w:rsid w:val="0087387D"/>
    <w:rsid w:val="00A459A3"/>
    <w:rsid w:val="00AA200D"/>
    <w:rsid w:val="00AD3E2A"/>
    <w:rsid w:val="00AF3697"/>
    <w:rsid w:val="00B6398B"/>
    <w:rsid w:val="00CE677E"/>
    <w:rsid w:val="00D00877"/>
    <w:rsid w:val="00DA77F8"/>
    <w:rsid w:val="00DD2209"/>
    <w:rsid w:val="00E55CD3"/>
    <w:rsid w:val="00EE1605"/>
    <w:rsid w:val="00EE43DE"/>
    <w:rsid w:val="00EF0E24"/>
    <w:rsid w:val="00F408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51C0"/>
  <w15:docId w15:val="{E32C9835-1DD5-4146-AA49-9758C526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D0B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tuc-csl.org/"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8D944-36A7-4DCF-8A38-6F9FFBD2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ARSİV</cp:lastModifiedBy>
  <cp:revision>2</cp:revision>
  <dcterms:created xsi:type="dcterms:W3CDTF">2021-11-16T10:51:00Z</dcterms:created>
  <dcterms:modified xsi:type="dcterms:W3CDTF">2021-11-16T10:51:00Z</dcterms:modified>
</cp:coreProperties>
</file>